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4D2BC8" w14:textId="295648CB" w:rsidR="00D1201A" w:rsidRPr="00244A48" w:rsidRDefault="003C1062" w:rsidP="00D1201A">
      <w:pPr>
        <w:rPr>
          <w:rFonts w:ascii="Arial" w:hAnsi="Arial" w:cs="Arial"/>
          <w:color w:val="191919"/>
        </w:rPr>
      </w:pPr>
      <w:bookmarkStart w:id="0" w:name="_GoBack"/>
      <w:r w:rsidRPr="00244A48">
        <w:rPr>
          <w:rFonts w:ascii="Arial" w:hAnsi="Arial" w:cs="Arial"/>
          <w:color w:val="191919"/>
        </w:rPr>
        <w:t xml:space="preserve">Does the binding of a feature into a multidimensional object protect it from </w:t>
      </w:r>
      <w:proofErr w:type="spellStart"/>
      <w:r w:rsidRPr="00244A48">
        <w:rPr>
          <w:rFonts w:ascii="Arial" w:hAnsi="Arial" w:cs="Arial"/>
          <w:color w:val="191919"/>
        </w:rPr>
        <w:t>inferference</w:t>
      </w:r>
      <w:proofErr w:type="spellEnd"/>
      <w:r w:rsidRPr="00244A48">
        <w:rPr>
          <w:rFonts w:ascii="Arial" w:hAnsi="Arial" w:cs="Arial"/>
          <w:color w:val="191919"/>
        </w:rPr>
        <w:t xml:space="preserve"> in visual working memory?</w:t>
      </w:r>
    </w:p>
    <w:p w14:paraId="7B67A2BA" w14:textId="77777777" w:rsidR="00D433FA" w:rsidRPr="00244A48" w:rsidRDefault="00D433FA" w:rsidP="00D1201A">
      <w:pPr>
        <w:rPr>
          <w:rFonts w:ascii="Arial" w:hAnsi="Arial" w:cs="Arial"/>
          <w:color w:val="191919"/>
        </w:rPr>
      </w:pPr>
    </w:p>
    <w:p w14:paraId="51DABD12" w14:textId="1071159B" w:rsidR="00D433FA" w:rsidRPr="00244A48" w:rsidRDefault="00D433FA" w:rsidP="00D1201A">
      <w:pPr>
        <w:rPr>
          <w:rFonts w:ascii="Arial" w:hAnsi="Arial" w:cs="Arial"/>
          <w:color w:val="191919"/>
        </w:rPr>
      </w:pPr>
      <w:proofErr w:type="spellStart"/>
      <w:r w:rsidRPr="00244A48">
        <w:rPr>
          <w:rFonts w:ascii="Arial" w:hAnsi="Arial" w:cs="Arial"/>
          <w:color w:val="191919"/>
        </w:rPr>
        <w:t>Sahan</w:t>
      </w:r>
      <w:proofErr w:type="spellEnd"/>
      <w:r w:rsidRPr="00244A48">
        <w:rPr>
          <w:rFonts w:ascii="Arial" w:hAnsi="Arial" w:cs="Arial"/>
          <w:color w:val="191919"/>
        </w:rPr>
        <w:t>,</w:t>
      </w:r>
      <w:r w:rsidR="0055480F" w:rsidRPr="00244A48">
        <w:rPr>
          <w:rFonts w:ascii="Arial" w:hAnsi="Arial" w:cs="Arial"/>
          <w:color w:val="191919"/>
        </w:rPr>
        <w:t xml:space="preserve"> M.I.</w:t>
      </w:r>
      <w:r w:rsidR="005243A6" w:rsidRPr="00244A48">
        <w:rPr>
          <w:rFonts w:ascii="Arial" w:hAnsi="Arial" w:cs="Arial"/>
          <w:color w:val="191919"/>
        </w:rPr>
        <w:t>,</w:t>
      </w:r>
      <w:r w:rsidRPr="00244A48">
        <w:rPr>
          <w:rFonts w:ascii="Arial" w:hAnsi="Arial" w:cs="Arial"/>
          <w:color w:val="191919"/>
        </w:rPr>
        <w:t xml:space="preserve"> Sheldon, </w:t>
      </w:r>
      <w:r w:rsidR="00DE6E4E" w:rsidRPr="00244A48">
        <w:rPr>
          <w:rFonts w:ascii="Arial" w:hAnsi="Arial" w:cs="Arial"/>
          <w:color w:val="191919"/>
        </w:rPr>
        <w:t>A.D.</w:t>
      </w:r>
      <w:r w:rsidR="00EA6AAF" w:rsidRPr="00244A48">
        <w:rPr>
          <w:rFonts w:ascii="Arial" w:hAnsi="Arial" w:cs="Arial"/>
          <w:color w:val="191919"/>
        </w:rPr>
        <w:t xml:space="preserve">, </w:t>
      </w:r>
      <w:r w:rsidRPr="00244A48">
        <w:rPr>
          <w:rFonts w:ascii="Arial" w:hAnsi="Arial" w:cs="Arial"/>
          <w:color w:val="191919"/>
        </w:rPr>
        <w:t xml:space="preserve">and </w:t>
      </w:r>
      <w:proofErr w:type="spellStart"/>
      <w:r w:rsidRPr="00244A48">
        <w:rPr>
          <w:rFonts w:ascii="Arial" w:hAnsi="Arial" w:cs="Arial"/>
          <w:color w:val="191919"/>
        </w:rPr>
        <w:t>Postle</w:t>
      </w:r>
      <w:proofErr w:type="spellEnd"/>
      <w:r w:rsidR="0055480F" w:rsidRPr="00244A48">
        <w:rPr>
          <w:rFonts w:ascii="Arial" w:hAnsi="Arial" w:cs="Arial"/>
          <w:color w:val="191919"/>
        </w:rPr>
        <w:t>, B.</w:t>
      </w:r>
      <w:r w:rsidR="005243A6" w:rsidRPr="00244A48">
        <w:rPr>
          <w:rFonts w:ascii="Arial" w:hAnsi="Arial" w:cs="Arial"/>
          <w:color w:val="191919"/>
        </w:rPr>
        <w:t xml:space="preserve">, </w:t>
      </w:r>
      <w:r w:rsidR="0055480F" w:rsidRPr="00244A48">
        <w:rPr>
          <w:rFonts w:ascii="Arial" w:hAnsi="Arial" w:cs="Arial"/>
          <w:color w:val="191919"/>
        </w:rPr>
        <w:t>R.</w:t>
      </w:r>
    </w:p>
    <w:p w14:paraId="1A955D6B" w14:textId="77777777" w:rsidR="00D1201A" w:rsidRPr="00244A48" w:rsidRDefault="00D1201A" w:rsidP="00D1201A">
      <w:pPr>
        <w:rPr>
          <w:rFonts w:ascii="Arial" w:hAnsi="Arial" w:cs="Arial"/>
          <w:color w:val="191919"/>
        </w:rPr>
      </w:pPr>
    </w:p>
    <w:p w14:paraId="1599A22B" w14:textId="6BFCF1E6" w:rsidR="00A029CF" w:rsidRPr="00244A48" w:rsidRDefault="00213F61" w:rsidP="00D1201A">
      <w:pPr>
        <w:rPr>
          <w:rFonts w:ascii="Arial" w:hAnsi="Arial" w:cs="Arial"/>
          <w:color w:val="191919"/>
        </w:rPr>
      </w:pPr>
      <w:r w:rsidRPr="00244A48">
        <w:rPr>
          <w:rFonts w:ascii="Arial" w:hAnsi="Arial" w:cs="Arial"/>
          <w:color w:val="191919"/>
        </w:rPr>
        <w:t xml:space="preserve">Is the elemental unit of visual working memory (VWM) storage the feature or the object? </w:t>
      </w:r>
      <w:r w:rsidR="00013A26" w:rsidRPr="00244A48">
        <w:rPr>
          <w:rFonts w:ascii="Arial" w:hAnsi="Arial" w:cs="Arial"/>
          <w:color w:val="191919"/>
        </w:rPr>
        <w:t>To address this question, we leveraged the fact that b</w:t>
      </w:r>
      <w:r w:rsidR="00D1201A" w:rsidRPr="00244A48">
        <w:rPr>
          <w:rFonts w:ascii="Arial" w:hAnsi="Arial" w:cs="Arial"/>
          <w:color w:val="191919"/>
        </w:rPr>
        <w:t>ehavioral and neural measures of the precision of single-feature stimuli</w:t>
      </w:r>
      <w:r w:rsidR="002843E5" w:rsidRPr="00244A48">
        <w:rPr>
          <w:rFonts w:ascii="Arial" w:hAnsi="Arial" w:cs="Arial"/>
          <w:color w:val="191919"/>
        </w:rPr>
        <w:t xml:space="preserve"> </w:t>
      </w:r>
      <w:r w:rsidR="00D1201A" w:rsidRPr="00244A48">
        <w:rPr>
          <w:rFonts w:ascii="Arial" w:hAnsi="Arial" w:cs="Arial"/>
          <w:color w:val="191919"/>
        </w:rPr>
        <w:t>drop mono</w:t>
      </w:r>
      <w:r w:rsidR="002843E5" w:rsidRPr="00244A48">
        <w:rPr>
          <w:rFonts w:ascii="Arial" w:hAnsi="Arial" w:cs="Arial"/>
          <w:color w:val="191919"/>
        </w:rPr>
        <w:t xml:space="preserve">tonically with increasing load. </w:t>
      </w:r>
      <w:r w:rsidR="00013A26" w:rsidRPr="00244A48">
        <w:rPr>
          <w:rFonts w:ascii="Arial" w:hAnsi="Arial" w:cs="Arial"/>
          <w:color w:val="191919"/>
        </w:rPr>
        <w:t xml:space="preserve">Would this load effect be </w:t>
      </w:r>
      <w:r w:rsidR="00A44893" w:rsidRPr="00244A48">
        <w:rPr>
          <w:rFonts w:ascii="Arial" w:hAnsi="Arial" w:cs="Arial"/>
          <w:color w:val="191919"/>
        </w:rPr>
        <w:t xml:space="preserve">decreased if the features being tested were part of a multidimensional object? That is, does being bound to an object partly insulate a stimulus feature from within-category interference? </w:t>
      </w:r>
      <w:r w:rsidR="00036867" w:rsidRPr="00244A48">
        <w:rPr>
          <w:rFonts w:ascii="Arial" w:hAnsi="Arial" w:cs="Arial"/>
          <w:color w:val="191919"/>
        </w:rPr>
        <w:t xml:space="preserve">To </w:t>
      </w:r>
      <w:r w:rsidR="00A44893" w:rsidRPr="00244A48">
        <w:rPr>
          <w:rFonts w:ascii="Arial" w:hAnsi="Arial" w:cs="Arial"/>
          <w:color w:val="191919"/>
        </w:rPr>
        <w:t>assess</w:t>
      </w:r>
      <w:r w:rsidR="00036867" w:rsidRPr="00244A48">
        <w:rPr>
          <w:rFonts w:ascii="Arial" w:hAnsi="Arial" w:cs="Arial"/>
          <w:color w:val="191919"/>
        </w:rPr>
        <w:t xml:space="preserve"> this, </w:t>
      </w:r>
      <w:r w:rsidR="003F7611" w:rsidRPr="00244A48">
        <w:rPr>
          <w:rFonts w:ascii="Arial" w:hAnsi="Arial" w:cs="Arial"/>
          <w:color w:val="191919"/>
        </w:rPr>
        <w:t xml:space="preserve">we </w:t>
      </w:r>
      <w:r w:rsidR="005836C0" w:rsidRPr="00244A48">
        <w:rPr>
          <w:rFonts w:ascii="Arial" w:hAnsi="Arial" w:cs="Arial"/>
          <w:color w:val="191919"/>
        </w:rPr>
        <w:t xml:space="preserve">tested subjects with two procedures. In the </w:t>
      </w:r>
      <w:r w:rsidR="003F7611" w:rsidRPr="00244A48">
        <w:rPr>
          <w:rFonts w:ascii="Arial" w:hAnsi="Arial" w:cs="Arial"/>
          <w:color w:val="191919"/>
        </w:rPr>
        <w:t>first</w:t>
      </w:r>
      <w:r w:rsidR="005836C0" w:rsidRPr="00244A48">
        <w:rPr>
          <w:rFonts w:ascii="Arial" w:hAnsi="Arial" w:cs="Arial"/>
          <w:color w:val="191919"/>
        </w:rPr>
        <w:t>,</w:t>
      </w:r>
      <w:r w:rsidR="003F7611" w:rsidRPr="00244A48">
        <w:rPr>
          <w:rFonts w:ascii="Arial" w:hAnsi="Arial" w:cs="Arial"/>
          <w:color w:val="191919"/>
        </w:rPr>
        <w:t xml:space="preserve"> two </w:t>
      </w:r>
      <w:r w:rsidR="005836C0" w:rsidRPr="00244A48">
        <w:rPr>
          <w:rFonts w:ascii="Arial" w:hAnsi="Arial" w:cs="Arial"/>
          <w:color w:val="191919"/>
        </w:rPr>
        <w:t xml:space="preserve">multidimensional </w:t>
      </w:r>
      <w:r w:rsidR="003F7611" w:rsidRPr="00244A48">
        <w:rPr>
          <w:rFonts w:ascii="Arial" w:hAnsi="Arial" w:cs="Arial"/>
          <w:color w:val="191919"/>
        </w:rPr>
        <w:t xml:space="preserve">objects </w:t>
      </w:r>
      <w:r w:rsidR="005836C0" w:rsidRPr="00244A48">
        <w:rPr>
          <w:rFonts w:ascii="Arial" w:hAnsi="Arial" w:cs="Arial"/>
          <w:color w:val="191919"/>
        </w:rPr>
        <w:t xml:space="preserve">(colored dots drifting coherently in one direction) were presented as memoranda, followed by a retrospective cue instructing the subject to retain either one of the two objects, or one of the two features (i.e., the color or the direction of each stimulus). In the second procedure subjects were presented two unidimensional stimuli </w:t>
      </w:r>
      <w:r w:rsidR="00284008" w:rsidRPr="00244A48">
        <w:rPr>
          <w:rFonts w:ascii="Arial" w:hAnsi="Arial" w:cs="Arial"/>
          <w:color w:val="191919"/>
        </w:rPr>
        <w:t xml:space="preserve">as memoranda </w:t>
      </w:r>
      <w:r w:rsidR="005836C0" w:rsidRPr="00244A48">
        <w:rPr>
          <w:rFonts w:ascii="Arial" w:hAnsi="Arial" w:cs="Arial"/>
          <w:color w:val="191919"/>
        </w:rPr>
        <w:t>(eith</w:t>
      </w:r>
      <w:r w:rsidR="00111E9B" w:rsidRPr="00244A48">
        <w:rPr>
          <w:rFonts w:ascii="Arial" w:hAnsi="Arial" w:cs="Arial"/>
          <w:color w:val="191919"/>
        </w:rPr>
        <w:t>er two colors, two</w:t>
      </w:r>
      <w:r w:rsidR="005836C0" w:rsidRPr="00244A48">
        <w:rPr>
          <w:rFonts w:ascii="Arial" w:hAnsi="Arial" w:cs="Arial"/>
          <w:color w:val="191919"/>
        </w:rPr>
        <w:t xml:space="preserve"> motion</w:t>
      </w:r>
      <w:r w:rsidR="00111E9B" w:rsidRPr="00244A48">
        <w:rPr>
          <w:rFonts w:ascii="Arial" w:hAnsi="Arial" w:cs="Arial"/>
          <w:color w:val="191919"/>
        </w:rPr>
        <w:t xml:space="preserve"> directions</w:t>
      </w:r>
      <w:r w:rsidR="005836C0" w:rsidRPr="00244A48">
        <w:rPr>
          <w:rFonts w:ascii="Arial" w:hAnsi="Arial" w:cs="Arial"/>
          <w:color w:val="191919"/>
        </w:rPr>
        <w:t>, or one color and one motion</w:t>
      </w:r>
      <w:r w:rsidR="00720F45" w:rsidRPr="00244A48">
        <w:rPr>
          <w:rFonts w:ascii="Arial" w:hAnsi="Arial" w:cs="Arial"/>
          <w:color w:val="191919"/>
        </w:rPr>
        <w:t xml:space="preserve"> direction</w:t>
      </w:r>
      <w:r w:rsidR="005836C0" w:rsidRPr="00244A48">
        <w:rPr>
          <w:rFonts w:ascii="Arial" w:hAnsi="Arial" w:cs="Arial"/>
          <w:color w:val="191919"/>
        </w:rPr>
        <w:t>)</w:t>
      </w:r>
      <w:r w:rsidR="00284008" w:rsidRPr="00244A48">
        <w:rPr>
          <w:rFonts w:ascii="Arial" w:hAnsi="Arial" w:cs="Arial"/>
          <w:color w:val="191919"/>
        </w:rPr>
        <w:t xml:space="preserve"> and </w:t>
      </w:r>
      <w:r w:rsidR="00D843A5" w:rsidRPr="00244A48">
        <w:rPr>
          <w:rFonts w:ascii="Arial" w:hAnsi="Arial" w:cs="Arial"/>
          <w:color w:val="191919"/>
        </w:rPr>
        <w:t>then</w:t>
      </w:r>
      <w:r w:rsidR="00284008" w:rsidRPr="00244A48">
        <w:rPr>
          <w:rFonts w:ascii="Arial" w:hAnsi="Arial" w:cs="Arial"/>
          <w:color w:val="191919"/>
        </w:rPr>
        <w:t xml:space="preserve"> probed. Thus, all conditions were at a load of two</w:t>
      </w:r>
      <w:r w:rsidR="003F7611" w:rsidRPr="00244A48">
        <w:rPr>
          <w:rFonts w:ascii="Arial" w:hAnsi="Arial" w:cs="Arial"/>
          <w:color w:val="191919"/>
        </w:rPr>
        <w:t xml:space="preserve">, </w:t>
      </w:r>
      <w:r w:rsidR="00284008" w:rsidRPr="00244A48">
        <w:rPr>
          <w:rFonts w:ascii="Arial" w:hAnsi="Arial" w:cs="Arial"/>
          <w:color w:val="191919"/>
        </w:rPr>
        <w:t>w</w:t>
      </w:r>
      <w:r w:rsidR="00ED300E" w:rsidRPr="00244A48">
        <w:rPr>
          <w:rFonts w:ascii="Arial" w:hAnsi="Arial" w:cs="Arial"/>
          <w:color w:val="191919"/>
        </w:rPr>
        <w:t>ith</w:t>
      </w:r>
      <w:r w:rsidR="00284008" w:rsidRPr="00244A48">
        <w:rPr>
          <w:rFonts w:ascii="Arial" w:hAnsi="Arial" w:cs="Arial"/>
          <w:color w:val="191919"/>
        </w:rPr>
        <w:t xml:space="preserve"> varied </w:t>
      </w:r>
      <w:r w:rsidR="00ED300E" w:rsidRPr="00244A48">
        <w:rPr>
          <w:rFonts w:ascii="Arial" w:hAnsi="Arial" w:cs="Arial"/>
          <w:color w:val="191919"/>
        </w:rPr>
        <w:t xml:space="preserve">levels of </w:t>
      </w:r>
      <w:r w:rsidR="00284008" w:rsidRPr="00244A48">
        <w:rPr>
          <w:rFonts w:ascii="Arial" w:hAnsi="Arial" w:cs="Arial"/>
          <w:color w:val="191919"/>
        </w:rPr>
        <w:t xml:space="preserve">“boundedness” </w:t>
      </w:r>
      <w:r w:rsidR="00ED300E" w:rsidRPr="00244A48">
        <w:rPr>
          <w:rFonts w:ascii="Arial" w:hAnsi="Arial" w:cs="Arial"/>
          <w:color w:val="191919"/>
        </w:rPr>
        <w:t xml:space="preserve">and category homogeneity. </w:t>
      </w:r>
      <w:r w:rsidR="002B53F1" w:rsidRPr="00244A48">
        <w:rPr>
          <w:rFonts w:ascii="Arial" w:hAnsi="Arial" w:cs="Arial"/>
          <w:color w:val="191919"/>
        </w:rPr>
        <w:t xml:space="preserve">Precision of VWM for color was lower than for motion, </w:t>
      </w:r>
      <w:r w:rsidR="0003084A" w:rsidRPr="00244A48">
        <w:rPr>
          <w:rFonts w:ascii="Arial" w:hAnsi="Arial" w:cs="Arial"/>
          <w:color w:val="191919"/>
        </w:rPr>
        <w:t xml:space="preserve">and color VWM was not sensitive to either manipulation. The precision of VWM for motion, however, was highest in trials in which the second memorandum was a color, regardless of whether the two were bound into a single object or </w:t>
      </w:r>
      <w:r w:rsidR="000676D2" w:rsidRPr="00244A48">
        <w:rPr>
          <w:rFonts w:ascii="Arial" w:hAnsi="Arial" w:cs="Arial"/>
          <w:color w:val="191919"/>
        </w:rPr>
        <w:t xml:space="preserve">presented as two distinct items. </w:t>
      </w:r>
      <w:r w:rsidR="00A029CF" w:rsidRPr="00244A48">
        <w:rPr>
          <w:rFonts w:ascii="Arial" w:hAnsi="Arial" w:cs="Arial"/>
          <w:color w:val="191919"/>
        </w:rPr>
        <w:t xml:space="preserve">These results suggest that interference between individual features, rather than objects, may </w:t>
      </w:r>
      <w:r w:rsidR="00A67B80" w:rsidRPr="00244A48">
        <w:rPr>
          <w:rFonts w:ascii="Arial" w:hAnsi="Arial" w:cs="Arial"/>
          <w:color w:val="191919"/>
        </w:rPr>
        <w:t>be the most important factor in determining VWM capacity limitations.</w:t>
      </w:r>
    </w:p>
    <w:p w14:paraId="08139B63" w14:textId="77777777" w:rsidR="00A029CF" w:rsidRPr="00244A48" w:rsidRDefault="00A029CF" w:rsidP="00D1201A">
      <w:pPr>
        <w:rPr>
          <w:rFonts w:ascii="Arial" w:hAnsi="Arial" w:cs="Arial"/>
          <w:color w:val="191919"/>
        </w:rPr>
      </w:pPr>
    </w:p>
    <w:p w14:paraId="45963C79" w14:textId="02284321" w:rsidR="00A44893" w:rsidRPr="00244A48" w:rsidRDefault="00A44893"/>
    <w:bookmarkEnd w:id="0"/>
    <w:sectPr w:rsidR="00A44893" w:rsidRPr="00244A48" w:rsidSect="00DF15D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849660" w14:textId="77777777" w:rsidR="00654EBE" w:rsidRDefault="00654EBE" w:rsidP="009F7B18">
      <w:r>
        <w:separator/>
      </w:r>
    </w:p>
  </w:endnote>
  <w:endnote w:type="continuationSeparator" w:id="0">
    <w:p w14:paraId="0587D343" w14:textId="77777777" w:rsidR="00654EBE" w:rsidRDefault="00654EBE" w:rsidP="009F7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Yu Mincho">
    <w:panose1 w:val="02020400000000000000"/>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C40025" w14:textId="77777777" w:rsidR="00654EBE" w:rsidRDefault="00654EBE" w:rsidP="009F7B18">
      <w:r>
        <w:separator/>
      </w:r>
    </w:p>
  </w:footnote>
  <w:footnote w:type="continuationSeparator" w:id="0">
    <w:p w14:paraId="19E7E101" w14:textId="77777777" w:rsidR="00654EBE" w:rsidRDefault="00654EBE" w:rsidP="009F7B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B18"/>
    <w:rsid w:val="00013A26"/>
    <w:rsid w:val="00014C8E"/>
    <w:rsid w:val="0002119D"/>
    <w:rsid w:val="0003084A"/>
    <w:rsid w:val="00036867"/>
    <w:rsid w:val="000676D2"/>
    <w:rsid w:val="000803CA"/>
    <w:rsid w:val="000A39CD"/>
    <w:rsid w:val="000E01AD"/>
    <w:rsid w:val="000F730D"/>
    <w:rsid w:val="00111E9B"/>
    <w:rsid w:val="001D127C"/>
    <w:rsid w:val="002024E4"/>
    <w:rsid w:val="00212C88"/>
    <w:rsid w:val="00213F61"/>
    <w:rsid w:val="0023339D"/>
    <w:rsid w:val="00244A48"/>
    <w:rsid w:val="00266539"/>
    <w:rsid w:val="00284008"/>
    <w:rsid w:val="002843E5"/>
    <w:rsid w:val="002B0F08"/>
    <w:rsid w:val="002B53F1"/>
    <w:rsid w:val="002C1B6A"/>
    <w:rsid w:val="002D26A6"/>
    <w:rsid w:val="002D5476"/>
    <w:rsid w:val="002E6229"/>
    <w:rsid w:val="003C1062"/>
    <w:rsid w:val="003F7611"/>
    <w:rsid w:val="004104DB"/>
    <w:rsid w:val="00411BD0"/>
    <w:rsid w:val="00432CA8"/>
    <w:rsid w:val="0045572A"/>
    <w:rsid w:val="00475DE3"/>
    <w:rsid w:val="004D101A"/>
    <w:rsid w:val="004F7197"/>
    <w:rsid w:val="005011C8"/>
    <w:rsid w:val="005059EA"/>
    <w:rsid w:val="00505A0C"/>
    <w:rsid w:val="005243A6"/>
    <w:rsid w:val="0055480F"/>
    <w:rsid w:val="005836C0"/>
    <w:rsid w:val="005C0028"/>
    <w:rsid w:val="00627835"/>
    <w:rsid w:val="00643B6E"/>
    <w:rsid w:val="00654EBE"/>
    <w:rsid w:val="00714DF0"/>
    <w:rsid w:val="00720F45"/>
    <w:rsid w:val="0072149E"/>
    <w:rsid w:val="00806E4E"/>
    <w:rsid w:val="008852E3"/>
    <w:rsid w:val="008C655F"/>
    <w:rsid w:val="009D7620"/>
    <w:rsid w:val="009F7B18"/>
    <w:rsid w:val="00A009E8"/>
    <w:rsid w:val="00A029CF"/>
    <w:rsid w:val="00A1038B"/>
    <w:rsid w:val="00A31A84"/>
    <w:rsid w:val="00A44893"/>
    <w:rsid w:val="00A67B80"/>
    <w:rsid w:val="00AD732F"/>
    <w:rsid w:val="00BB4C93"/>
    <w:rsid w:val="00BE60D8"/>
    <w:rsid w:val="00C22375"/>
    <w:rsid w:val="00C22E9E"/>
    <w:rsid w:val="00C55A89"/>
    <w:rsid w:val="00D02040"/>
    <w:rsid w:val="00D0616D"/>
    <w:rsid w:val="00D1201A"/>
    <w:rsid w:val="00D332F0"/>
    <w:rsid w:val="00D37068"/>
    <w:rsid w:val="00D418B6"/>
    <w:rsid w:val="00D433FA"/>
    <w:rsid w:val="00D843A5"/>
    <w:rsid w:val="00DB3B05"/>
    <w:rsid w:val="00DC0333"/>
    <w:rsid w:val="00DC6D0D"/>
    <w:rsid w:val="00DE6E4E"/>
    <w:rsid w:val="00DF15DE"/>
    <w:rsid w:val="00EA00F3"/>
    <w:rsid w:val="00EA6AAF"/>
    <w:rsid w:val="00ED300E"/>
    <w:rsid w:val="00ED6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5BDD93D"/>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B18"/>
    <w:pPr>
      <w:tabs>
        <w:tab w:val="center" w:pos="4680"/>
        <w:tab w:val="right" w:pos="9360"/>
      </w:tabs>
    </w:pPr>
  </w:style>
  <w:style w:type="character" w:customStyle="1" w:styleId="HeaderChar">
    <w:name w:val="Header Char"/>
    <w:basedOn w:val="DefaultParagraphFont"/>
    <w:link w:val="Header"/>
    <w:uiPriority w:val="99"/>
    <w:rsid w:val="009F7B18"/>
  </w:style>
  <w:style w:type="paragraph" w:styleId="Footer">
    <w:name w:val="footer"/>
    <w:basedOn w:val="Normal"/>
    <w:link w:val="FooterChar"/>
    <w:uiPriority w:val="99"/>
    <w:unhideWhenUsed/>
    <w:rsid w:val="009F7B18"/>
    <w:pPr>
      <w:tabs>
        <w:tab w:val="center" w:pos="4680"/>
        <w:tab w:val="right" w:pos="9360"/>
      </w:tabs>
    </w:pPr>
  </w:style>
  <w:style w:type="character" w:customStyle="1" w:styleId="FooterChar">
    <w:name w:val="Footer Char"/>
    <w:basedOn w:val="DefaultParagraphFont"/>
    <w:link w:val="Footer"/>
    <w:uiPriority w:val="99"/>
    <w:rsid w:val="009F7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1504</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Wisconsin-Madison</Company>
  <LinksUpToDate>false</LinksUpToDate>
  <CharactersWithSpaces>1764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MUHAMMET IKBAL SAHAN</dc:creator>
  <cp:keywords/>
  <dc:description/>
  <cp:lastModifiedBy>E M</cp:lastModifiedBy>
  <cp:revision>2</cp:revision>
  <dcterms:created xsi:type="dcterms:W3CDTF">2017-03-20T01:34:00Z</dcterms:created>
  <dcterms:modified xsi:type="dcterms:W3CDTF">2017-03-20T01:34:00Z</dcterms:modified>
</cp:coreProperties>
</file>