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6BE35" w14:textId="5BC37329" w:rsidR="001F6539" w:rsidRPr="002D7373" w:rsidRDefault="004C14AB">
      <w:r w:rsidRPr="002D7373">
        <w:t>The influence of storage capacity versus</w:t>
      </w:r>
      <w:r w:rsidR="000E199B" w:rsidRPr="002D7373">
        <w:t xml:space="preserve"> control</w:t>
      </w:r>
      <w:r w:rsidRPr="002D7373">
        <w:t xml:space="preserve"> in visual working memory capacity limitations</w:t>
      </w:r>
    </w:p>
    <w:p w14:paraId="1D64CB5E" w14:textId="77777777" w:rsidR="004C14AB" w:rsidRPr="002D7373" w:rsidRDefault="004C14AB">
      <w:pPr>
        <w:rPr>
          <w:lang w:eastAsia="zh-CN"/>
        </w:rPr>
      </w:pPr>
    </w:p>
    <w:p w14:paraId="1FAB9DC5" w14:textId="77777777" w:rsidR="001F6539" w:rsidRPr="002D7373" w:rsidRDefault="001F6539" w:rsidP="001F6539">
      <w:r w:rsidRPr="002D7373">
        <w:t>Keywords: visual short term memory, inverted encoding model,</w:t>
      </w:r>
      <w:r w:rsidR="00A037EF" w:rsidRPr="002D7373">
        <w:t xml:space="preserve"> </w:t>
      </w:r>
      <w:r w:rsidRPr="002D7373">
        <w:t>fMRI</w:t>
      </w:r>
    </w:p>
    <w:p w14:paraId="15D04FFB" w14:textId="77777777" w:rsidR="001F6539" w:rsidRPr="002D7373" w:rsidRDefault="001F6539" w:rsidP="001F6539"/>
    <w:p w14:paraId="7399199C" w14:textId="0955F1BB" w:rsidR="001F6539" w:rsidRPr="002D7373" w:rsidRDefault="004C14AB" w:rsidP="001F6539">
      <w:pPr>
        <w:outlineLvl w:val="0"/>
      </w:pPr>
      <w:r w:rsidRPr="002D7373">
        <w:t xml:space="preserve">Authors: </w:t>
      </w:r>
      <w:proofErr w:type="spellStart"/>
      <w:r w:rsidRPr="002D7373">
        <w:t>Cai</w:t>
      </w:r>
      <w:proofErr w:type="spellEnd"/>
      <w:r w:rsidR="001A08C1" w:rsidRPr="002D7373">
        <w:t>,</w:t>
      </w:r>
      <w:r w:rsidR="0024700A">
        <w:t xml:space="preserve"> Ying</w:t>
      </w:r>
      <w:r w:rsidR="001F6539" w:rsidRPr="002D7373">
        <w:t>, Sheldon</w:t>
      </w:r>
      <w:r w:rsidR="001A08C1" w:rsidRPr="002D7373">
        <w:t>,</w:t>
      </w:r>
      <w:r w:rsidR="001F6539" w:rsidRPr="002D7373">
        <w:t xml:space="preserve"> A</w:t>
      </w:r>
      <w:r w:rsidR="0024700A">
        <w:t xml:space="preserve">ndrew D., </w:t>
      </w:r>
      <w:proofErr w:type="spellStart"/>
      <w:r w:rsidR="0024700A">
        <w:t>Postle</w:t>
      </w:r>
      <w:proofErr w:type="spellEnd"/>
      <w:r w:rsidR="0024700A">
        <w:t xml:space="preserve">, Bradley </w:t>
      </w:r>
      <w:r w:rsidR="001F6539" w:rsidRPr="002D7373">
        <w:t xml:space="preserve">R. </w:t>
      </w:r>
    </w:p>
    <w:p w14:paraId="5378762C" w14:textId="77777777" w:rsidR="001F6539" w:rsidRPr="002D7373" w:rsidRDefault="001F6539" w:rsidP="001F6539">
      <w:pPr>
        <w:outlineLvl w:val="0"/>
      </w:pPr>
    </w:p>
    <w:p w14:paraId="2475CEA6" w14:textId="4127358D" w:rsidR="002F23E0" w:rsidRDefault="001B7574" w:rsidP="002D7373">
      <w:pPr>
        <w:outlineLvl w:val="0"/>
      </w:pPr>
      <w:r w:rsidRPr="002D7373">
        <w:t>Many studies of visual working memory (VWM) capacity confound the construct</w:t>
      </w:r>
      <w:r w:rsidR="00FA5483" w:rsidRPr="002D7373">
        <w:t>s</w:t>
      </w:r>
      <w:r w:rsidRPr="002D7373">
        <w:t xml:space="preserve"> of "storage capacity</w:t>
      </w:r>
      <w:r w:rsidR="00FA5483" w:rsidRPr="002D7373">
        <w:t>,</w:t>
      </w:r>
      <w:r w:rsidRPr="002D7373">
        <w:t>" "context binding</w:t>
      </w:r>
      <w:r w:rsidR="00FA5483" w:rsidRPr="002D7373">
        <w:t>,</w:t>
      </w:r>
      <w:r w:rsidRPr="002D7373">
        <w:t xml:space="preserve">" </w:t>
      </w:r>
      <w:r w:rsidR="002D5956" w:rsidRPr="002D7373">
        <w:t>and “inter-item interference</w:t>
      </w:r>
      <w:r w:rsidR="00080E53" w:rsidRPr="002D7373">
        <w:t>.</w:t>
      </w:r>
      <w:r w:rsidR="002D5956" w:rsidRPr="002D7373">
        <w:t>”</w:t>
      </w:r>
      <w:r w:rsidRPr="002D7373">
        <w:t xml:space="preserve"> </w:t>
      </w:r>
      <w:r w:rsidR="000E7559" w:rsidRPr="002D7373">
        <w:t>D</w:t>
      </w:r>
      <w:r w:rsidR="001A08C1" w:rsidRPr="002D7373">
        <w:t xml:space="preserve">uring fMRI of </w:t>
      </w:r>
      <w:r w:rsidR="00F00AAA" w:rsidRPr="002D7373">
        <w:t>a delayed-estimation task (n = 16)</w:t>
      </w:r>
      <w:r w:rsidR="001A08C1" w:rsidRPr="002D7373">
        <w:t xml:space="preserve">, </w:t>
      </w:r>
      <w:r w:rsidRPr="002D7373">
        <w:t>we dissociate</w:t>
      </w:r>
      <w:r w:rsidR="00E965D4" w:rsidRPr="002D7373">
        <w:t>d</w:t>
      </w:r>
      <w:r w:rsidRPr="002D7373">
        <w:t xml:space="preserve"> the </w:t>
      </w:r>
      <w:r w:rsidR="00E965D4" w:rsidRPr="002D7373">
        <w:t xml:space="preserve">experimental </w:t>
      </w:r>
      <w:r w:rsidRPr="002D7373">
        <w:t xml:space="preserve">factor of </w:t>
      </w:r>
      <w:proofErr w:type="gramStart"/>
      <w:r w:rsidRPr="002D7373">
        <w:t xml:space="preserve">load </w:t>
      </w:r>
      <w:r w:rsidR="00080E53" w:rsidRPr="002D7373">
        <w:t xml:space="preserve"> --</w:t>
      </w:r>
      <w:proofErr w:type="gramEnd"/>
      <w:r w:rsidR="00080E53" w:rsidRPr="002D7373">
        <w:t xml:space="preserve"> one bar that could vary in orientation ("1O") vs. three differently oriented bars ("3O") – </w:t>
      </w:r>
      <w:r w:rsidR="00461018" w:rsidRPr="002D7373">
        <w:t xml:space="preserve">from </w:t>
      </w:r>
      <w:r w:rsidR="000E7559" w:rsidRPr="002D7373">
        <w:t>that</w:t>
      </w:r>
      <w:r w:rsidR="00461018" w:rsidRPr="002D7373">
        <w:t xml:space="preserve"> of category homogeneity -- </w:t>
      </w:r>
      <w:r w:rsidR="00080E53" w:rsidRPr="002D7373">
        <w:t>3O vs. one bar, one patch that could vary in chrominance, and one concentric-circle stimulus that could vary in luminance contrast ("1O1C1L</w:t>
      </w:r>
      <w:r w:rsidR="00461018" w:rsidRPr="002D7373">
        <w:t>")</w:t>
      </w:r>
      <w:r w:rsidRPr="002D7373">
        <w:t>.</w:t>
      </w:r>
      <w:r w:rsidR="001A08C1" w:rsidRPr="002D7373">
        <w:t xml:space="preserve"> </w:t>
      </w:r>
      <w:r w:rsidR="00AD33A1" w:rsidRPr="002D7373">
        <w:t xml:space="preserve">Fitting behavioral data to a 3-factor mixture model revealed </w:t>
      </w:r>
      <w:r w:rsidR="000C16F5" w:rsidRPr="002D7373">
        <w:t>no difference</w:t>
      </w:r>
      <w:r w:rsidR="00126437" w:rsidRPr="002D7373">
        <w:t xml:space="preserve"> in </w:t>
      </w:r>
      <w:r w:rsidR="00AD33A1" w:rsidRPr="002D7373">
        <w:t xml:space="preserve">memory precision </w:t>
      </w:r>
      <w:r w:rsidR="00533A4F" w:rsidRPr="002D7373">
        <w:t xml:space="preserve">between </w:t>
      </w:r>
      <w:r w:rsidR="000C16F5" w:rsidRPr="002D7373">
        <w:t>1</w:t>
      </w:r>
      <w:r w:rsidR="00AD33A1" w:rsidRPr="002D7373">
        <w:t xml:space="preserve">O </w:t>
      </w:r>
      <w:r w:rsidR="000C16F5" w:rsidRPr="002D7373">
        <w:t xml:space="preserve">and </w:t>
      </w:r>
      <w:r w:rsidR="001B67AF" w:rsidRPr="002D7373">
        <w:t>1O1C1L</w:t>
      </w:r>
      <w:r w:rsidR="00AD33A1" w:rsidRPr="002D7373">
        <w:t xml:space="preserve"> </w:t>
      </w:r>
      <w:r w:rsidR="000C16F5" w:rsidRPr="002D7373">
        <w:t>con</w:t>
      </w:r>
      <w:r w:rsidR="00126437" w:rsidRPr="002D7373">
        <w:t xml:space="preserve">ditions, but significantly </w:t>
      </w:r>
      <w:r w:rsidR="00FB18F2" w:rsidRPr="002D7373">
        <w:t xml:space="preserve">worse </w:t>
      </w:r>
      <w:r w:rsidR="006D33DA" w:rsidRPr="002D7373">
        <w:t>precision for</w:t>
      </w:r>
      <w:r w:rsidR="00784ABB" w:rsidRPr="002D7373">
        <w:t xml:space="preserve"> </w:t>
      </w:r>
      <w:r w:rsidR="001B67AF" w:rsidRPr="002D7373">
        <w:t>3O</w:t>
      </w:r>
      <w:r w:rsidR="001A7DAA" w:rsidRPr="002D7373">
        <w:t>. S</w:t>
      </w:r>
      <w:r w:rsidR="00D512DC" w:rsidRPr="002D7373">
        <w:t xml:space="preserve">ubjects with higher VWM capacity, estimated </w:t>
      </w:r>
      <w:r w:rsidR="00C04081" w:rsidRPr="002D7373">
        <w:t>offline with</w:t>
      </w:r>
      <w:r w:rsidR="00D512DC" w:rsidRPr="002D7373">
        <w:t xml:space="preserve"> color change-detection, had a smaller decline in precision of 3O relative to 1O1C1L. </w:t>
      </w:r>
      <w:r w:rsidR="006E0991" w:rsidRPr="002D7373">
        <w:t>Probability of target responses was highest for 1O, followed by 1O1C1L, followed by 3O.</w:t>
      </w:r>
      <w:r w:rsidR="002D23D6" w:rsidRPr="002D7373">
        <w:t xml:space="preserve"> </w:t>
      </w:r>
      <w:r w:rsidR="00372247" w:rsidRPr="0024700A">
        <w:t xml:space="preserve">Delay-period </w:t>
      </w:r>
      <w:r w:rsidR="00D512DC" w:rsidRPr="0024700A">
        <w:t xml:space="preserve">BOLD </w:t>
      </w:r>
      <w:r w:rsidR="000C16F5" w:rsidRPr="0024700A">
        <w:t xml:space="preserve">signal in parietal and frontal areas </w:t>
      </w:r>
      <w:r w:rsidR="00266CCE" w:rsidRPr="0024700A">
        <w:t>was comparable in 1O and 1O1C1L conditions, and higher for 3O</w:t>
      </w:r>
      <w:r w:rsidR="00242A2A" w:rsidRPr="0024700A">
        <w:t>.</w:t>
      </w:r>
      <w:r w:rsidR="00266CCE" w:rsidRPr="002D7373">
        <w:t xml:space="preserve"> </w:t>
      </w:r>
      <w:r w:rsidR="0099210E" w:rsidRPr="002D7373">
        <w:t>Orientation reconstruction with m</w:t>
      </w:r>
      <w:r w:rsidR="00266CCE" w:rsidRPr="002D7373">
        <w:t>ul</w:t>
      </w:r>
      <w:r w:rsidR="00784ABB" w:rsidRPr="002D7373">
        <w:t>tivariate inverted encoding modeling (IEM)</w:t>
      </w:r>
      <w:r w:rsidR="00546394" w:rsidRPr="002D7373">
        <w:t xml:space="preserve"> of this delay-</w:t>
      </w:r>
      <w:r w:rsidR="00996753" w:rsidRPr="002D7373">
        <w:t>p</w:t>
      </w:r>
      <w:r w:rsidR="00546394" w:rsidRPr="002D7373">
        <w:t xml:space="preserve">eriod signal </w:t>
      </w:r>
      <w:r w:rsidR="00D64469" w:rsidRPr="002D7373">
        <w:t>w</w:t>
      </w:r>
      <w:r w:rsidR="00996753" w:rsidRPr="002D7373">
        <w:t>as</w:t>
      </w:r>
      <w:r w:rsidR="00923074" w:rsidRPr="002D7373">
        <w:t xml:space="preserve"> only successful </w:t>
      </w:r>
      <w:r w:rsidR="00996753" w:rsidRPr="002D7373">
        <w:t>for</w:t>
      </w:r>
      <w:r w:rsidR="00923074" w:rsidRPr="002D7373">
        <w:t xml:space="preserve"> 1O </w:t>
      </w:r>
      <w:r w:rsidR="00996753" w:rsidRPr="002D7373">
        <w:t>trials</w:t>
      </w:r>
      <w:r w:rsidR="00FE34EA" w:rsidRPr="002D7373">
        <w:t>, a pattern most consistent with a context binding function</w:t>
      </w:r>
      <w:r w:rsidR="00996753" w:rsidRPr="002D7373">
        <w:t xml:space="preserve">. </w:t>
      </w:r>
      <w:r w:rsidR="000429CB" w:rsidRPr="002D7373">
        <w:t>IEM of encoding-related signal in occipital cortex</w:t>
      </w:r>
      <w:r w:rsidR="001F54AD" w:rsidRPr="002D7373">
        <w:t>, in contrast,</w:t>
      </w:r>
      <w:r w:rsidR="000429CB" w:rsidRPr="002D7373">
        <w:t xml:space="preserve"> </w:t>
      </w:r>
      <w:r w:rsidR="001F54AD" w:rsidRPr="002D7373">
        <w:t>produced successful</w:t>
      </w:r>
      <w:r w:rsidR="00736E04" w:rsidRPr="002D7373">
        <w:t xml:space="preserve"> </w:t>
      </w:r>
      <w:r w:rsidR="004D6227" w:rsidRPr="002D7373">
        <w:t>orientation</w:t>
      </w:r>
      <w:r w:rsidR="00736E04" w:rsidRPr="002D7373">
        <w:t xml:space="preserve"> reconstruction</w:t>
      </w:r>
      <w:r w:rsidR="001F54AD" w:rsidRPr="002D7373">
        <w:t xml:space="preserve"> for</w:t>
      </w:r>
      <w:r w:rsidR="00736E04" w:rsidRPr="002D7373">
        <w:t xml:space="preserve"> 1O </w:t>
      </w:r>
      <w:r w:rsidR="001F54AD" w:rsidRPr="002D7373">
        <w:t>and</w:t>
      </w:r>
      <w:r w:rsidR="00736E04" w:rsidRPr="002D7373">
        <w:t xml:space="preserve"> 1O1C1L, </w:t>
      </w:r>
      <w:r w:rsidR="001F54AD" w:rsidRPr="002D7373">
        <w:t>but not</w:t>
      </w:r>
      <w:r w:rsidR="00736E04" w:rsidRPr="002D7373">
        <w:t xml:space="preserve"> for 3O.</w:t>
      </w:r>
      <w:r w:rsidR="001F54AD" w:rsidRPr="002D7373">
        <w:t xml:space="preserve"> Furthermore, </w:t>
      </w:r>
      <w:r w:rsidR="003F5045" w:rsidRPr="0024700A">
        <w:t>divid</w:t>
      </w:r>
      <w:r w:rsidR="001F54AD" w:rsidRPr="0024700A">
        <w:t>ing</w:t>
      </w:r>
      <w:r w:rsidR="003F5045" w:rsidRPr="0024700A">
        <w:t xml:space="preserve"> </w:t>
      </w:r>
      <w:r w:rsidR="002F23E0" w:rsidRPr="0024700A">
        <w:t xml:space="preserve">subjects into </w:t>
      </w:r>
      <w:r w:rsidR="00B961AC" w:rsidRPr="0024700A">
        <w:t>homogeneity-sensitive versus homogeneity-insensitive</w:t>
      </w:r>
      <w:r w:rsidR="00B961AC" w:rsidRPr="0024700A" w:rsidDel="00B961AC">
        <w:t xml:space="preserve"> </w:t>
      </w:r>
      <w:r w:rsidR="002F23E0" w:rsidRPr="0024700A">
        <w:t>group</w:t>
      </w:r>
      <w:r w:rsidR="001F54AD" w:rsidRPr="0024700A">
        <w:t>s</w:t>
      </w:r>
      <w:r w:rsidR="002F23E0" w:rsidRPr="0024700A">
        <w:t xml:space="preserve"> </w:t>
      </w:r>
      <w:r w:rsidR="001F54AD" w:rsidRPr="0024700A">
        <w:t>(</w:t>
      </w:r>
      <w:r w:rsidR="002F23E0" w:rsidRPr="0024700A">
        <w:t xml:space="preserve">based on the </w:t>
      </w:r>
      <w:r w:rsidR="00242A2A" w:rsidRPr="0024700A">
        <w:t xml:space="preserve">behavioral </w:t>
      </w:r>
      <w:r w:rsidR="001F54AD" w:rsidRPr="0024700A">
        <w:t>measures</w:t>
      </w:r>
      <w:r w:rsidR="00C44468" w:rsidRPr="0024700A">
        <w:t xml:space="preserve">) indicated that </w:t>
      </w:r>
      <w:r w:rsidR="0058712F" w:rsidRPr="0024700A">
        <w:t xml:space="preserve">the 1O1C1L-3O </w:t>
      </w:r>
      <w:r w:rsidR="009C1C3F" w:rsidRPr="0024700A">
        <w:t xml:space="preserve">reconstruction </w:t>
      </w:r>
      <w:r w:rsidR="0058712F" w:rsidRPr="0024700A">
        <w:t xml:space="preserve">difference was most pronounced in the homogeneity-sensitive group, a pattern most consistent with an inter-item </w:t>
      </w:r>
      <w:r w:rsidR="00DA6653" w:rsidRPr="0024700A">
        <w:t>in</w:t>
      </w:r>
      <w:r w:rsidR="004803A8" w:rsidRPr="0024700A">
        <w:t>ter</w:t>
      </w:r>
      <w:r w:rsidR="00DA6653" w:rsidRPr="0024700A">
        <w:t>ference</w:t>
      </w:r>
      <w:r w:rsidR="00657393" w:rsidRPr="0024700A">
        <w:t>.</w:t>
      </w:r>
      <w:r w:rsidR="0058712F" w:rsidRPr="0024700A">
        <w:t xml:space="preserve"> </w:t>
      </w:r>
      <w:proofErr w:type="spellStart"/>
      <w:r w:rsidR="002735DC" w:rsidRPr="0024700A">
        <w:t>Fronto</w:t>
      </w:r>
      <w:proofErr w:type="spellEnd"/>
      <w:r w:rsidR="002735DC" w:rsidRPr="0024700A">
        <w:t>-parietal VWM activity</w:t>
      </w:r>
      <w:r w:rsidR="00585BFB" w:rsidRPr="0024700A">
        <w:t xml:space="preserve"> reflects control, an important determinant of VWM capacity.</w:t>
      </w:r>
      <w:r w:rsidR="002735DC" w:rsidRPr="0024700A">
        <w:t xml:space="preserve">  </w:t>
      </w:r>
      <w:bookmarkStart w:id="0" w:name="_GoBack"/>
      <w:bookmarkEnd w:id="0"/>
    </w:p>
    <w:p w14:paraId="56856CA0" w14:textId="77777777" w:rsidR="002F23E0" w:rsidRDefault="002F23E0" w:rsidP="001F6539"/>
    <w:p w14:paraId="57A52A6A" w14:textId="77777777" w:rsidR="00EF3B48" w:rsidRPr="001F6539" w:rsidRDefault="006B24FB" w:rsidP="001F6539"/>
    <w:sectPr w:rsidR="00EF3B48" w:rsidRPr="001F6539" w:rsidSect="00226A2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A1"/>
    <w:rsid w:val="000229D8"/>
    <w:rsid w:val="000235E7"/>
    <w:rsid w:val="000340AE"/>
    <w:rsid w:val="000429CB"/>
    <w:rsid w:val="00054F79"/>
    <w:rsid w:val="000637E9"/>
    <w:rsid w:val="0007002E"/>
    <w:rsid w:val="00080E53"/>
    <w:rsid w:val="000A67A7"/>
    <w:rsid w:val="000C16F5"/>
    <w:rsid w:val="000E199B"/>
    <w:rsid w:val="000E7559"/>
    <w:rsid w:val="00111BEC"/>
    <w:rsid w:val="00126437"/>
    <w:rsid w:val="00143181"/>
    <w:rsid w:val="001520EC"/>
    <w:rsid w:val="00155634"/>
    <w:rsid w:val="00197D61"/>
    <w:rsid w:val="001A08C1"/>
    <w:rsid w:val="001A7DAA"/>
    <w:rsid w:val="001B67AF"/>
    <w:rsid w:val="001B7574"/>
    <w:rsid w:val="001C75B1"/>
    <w:rsid w:val="001F54AD"/>
    <w:rsid w:val="001F6539"/>
    <w:rsid w:val="00217B09"/>
    <w:rsid w:val="00226021"/>
    <w:rsid w:val="00226A23"/>
    <w:rsid w:val="00242A2A"/>
    <w:rsid w:val="00243B25"/>
    <w:rsid w:val="0024700A"/>
    <w:rsid w:val="00247FE9"/>
    <w:rsid w:val="00263BBE"/>
    <w:rsid w:val="00266CCE"/>
    <w:rsid w:val="00270F81"/>
    <w:rsid w:val="002735DC"/>
    <w:rsid w:val="00281BEA"/>
    <w:rsid w:val="002A5347"/>
    <w:rsid w:val="002B3893"/>
    <w:rsid w:val="002B7B6F"/>
    <w:rsid w:val="002D23D6"/>
    <w:rsid w:val="002D5956"/>
    <w:rsid w:val="002D7373"/>
    <w:rsid w:val="002F23E0"/>
    <w:rsid w:val="003065B0"/>
    <w:rsid w:val="00360BC8"/>
    <w:rsid w:val="00372247"/>
    <w:rsid w:val="00381466"/>
    <w:rsid w:val="003A77F0"/>
    <w:rsid w:val="003B3AA1"/>
    <w:rsid w:val="003C1FFA"/>
    <w:rsid w:val="003E013C"/>
    <w:rsid w:val="003E65F7"/>
    <w:rsid w:val="003F5045"/>
    <w:rsid w:val="004013E0"/>
    <w:rsid w:val="00413DD8"/>
    <w:rsid w:val="0045088A"/>
    <w:rsid w:val="00451D6A"/>
    <w:rsid w:val="00461018"/>
    <w:rsid w:val="004803A8"/>
    <w:rsid w:val="00492516"/>
    <w:rsid w:val="004C14AB"/>
    <w:rsid w:val="004C35AD"/>
    <w:rsid w:val="004D6227"/>
    <w:rsid w:val="004F0F1E"/>
    <w:rsid w:val="00522C87"/>
    <w:rsid w:val="00533A4F"/>
    <w:rsid w:val="005401CC"/>
    <w:rsid w:val="00546394"/>
    <w:rsid w:val="00555D61"/>
    <w:rsid w:val="00567043"/>
    <w:rsid w:val="005736DD"/>
    <w:rsid w:val="00575D6A"/>
    <w:rsid w:val="00580E76"/>
    <w:rsid w:val="00585BFB"/>
    <w:rsid w:val="0058712F"/>
    <w:rsid w:val="005913E9"/>
    <w:rsid w:val="005962E6"/>
    <w:rsid w:val="005B771E"/>
    <w:rsid w:val="00657393"/>
    <w:rsid w:val="00685BB7"/>
    <w:rsid w:val="006B24FB"/>
    <w:rsid w:val="006D33DA"/>
    <w:rsid w:val="006E0991"/>
    <w:rsid w:val="006E1536"/>
    <w:rsid w:val="007065B0"/>
    <w:rsid w:val="00733B2A"/>
    <w:rsid w:val="00736E04"/>
    <w:rsid w:val="007543B9"/>
    <w:rsid w:val="00756718"/>
    <w:rsid w:val="00767FA9"/>
    <w:rsid w:val="00770196"/>
    <w:rsid w:val="00784ABB"/>
    <w:rsid w:val="007F134B"/>
    <w:rsid w:val="007F59BC"/>
    <w:rsid w:val="0084203D"/>
    <w:rsid w:val="008468F4"/>
    <w:rsid w:val="00853248"/>
    <w:rsid w:val="008726FB"/>
    <w:rsid w:val="008808CD"/>
    <w:rsid w:val="008938A7"/>
    <w:rsid w:val="008A4F8B"/>
    <w:rsid w:val="008C1DD6"/>
    <w:rsid w:val="008C224D"/>
    <w:rsid w:val="008F37E4"/>
    <w:rsid w:val="00923074"/>
    <w:rsid w:val="009255C9"/>
    <w:rsid w:val="00942915"/>
    <w:rsid w:val="00955D89"/>
    <w:rsid w:val="0096393C"/>
    <w:rsid w:val="009701D5"/>
    <w:rsid w:val="00982564"/>
    <w:rsid w:val="0099210E"/>
    <w:rsid w:val="00996753"/>
    <w:rsid w:val="009B1F2C"/>
    <w:rsid w:val="009C1C3F"/>
    <w:rsid w:val="009E7136"/>
    <w:rsid w:val="009E722A"/>
    <w:rsid w:val="00A037EF"/>
    <w:rsid w:val="00A06C63"/>
    <w:rsid w:val="00A502B1"/>
    <w:rsid w:val="00A545B0"/>
    <w:rsid w:val="00AA0753"/>
    <w:rsid w:val="00AB46F7"/>
    <w:rsid w:val="00AD33A1"/>
    <w:rsid w:val="00AE3EDB"/>
    <w:rsid w:val="00B51FAD"/>
    <w:rsid w:val="00B961AC"/>
    <w:rsid w:val="00BB5B66"/>
    <w:rsid w:val="00C04081"/>
    <w:rsid w:val="00C44468"/>
    <w:rsid w:val="00C53D41"/>
    <w:rsid w:val="00C80359"/>
    <w:rsid w:val="00CA54CE"/>
    <w:rsid w:val="00CE64EB"/>
    <w:rsid w:val="00D14FD4"/>
    <w:rsid w:val="00D20499"/>
    <w:rsid w:val="00D35F3B"/>
    <w:rsid w:val="00D479CA"/>
    <w:rsid w:val="00D50872"/>
    <w:rsid w:val="00D512DC"/>
    <w:rsid w:val="00D64469"/>
    <w:rsid w:val="00D66218"/>
    <w:rsid w:val="00DA6653"/>
    <w:rsid w:val="00DC4CA8"/>
    <w:rsid w:val="00DE4BE5"/>
    <w:rsid w:val="00DF3C5D"/>
    <w:rsid w:val="00E52693"/>
    <w:rsid w:val="00E665A6"/>
    <w:rsid w:val="00E86990"/>
    <w:rsid w:val="00E965D4"/>
    <w:rsid w:val="00EA0A94"/>
    <w:rsid w:val="00EC1F43"/>
    <w:rsid w:val="00EE652B"/>
    <w:rsid w:val="00F00AAA"/>
    <w:rsid w:val="00F07CDE"/>
    <w:rsid w:val="00F25364"/>
    <w:rsid w:val="00F33644"/>
    <w:rsid w:val="00FA2A13"/>
    <w:rsid w:val="00FA5483"/>
    <w:rsid w:val="00FB18F2"/>
    <w:rsid w:val="00FE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833B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C14A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4A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4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4A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4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4A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4A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1709</Characters>
  <Application>Microsoft Macintosh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Authors: Cai, Y., Sheldon, A.D., Postle, B.R. </vt:lpstr>
      <vt:lpstr/>
      <vt:lpstr>Many studies of visual working memory (VWM) capacity confound the constructs of </vt:lpstr>
      <vt:lpstr/>
      <vt:lpstr/>
      <vt:lpstr/>
      <vt:lpstr>Fitting behavioral data to a 3-factor mixture model revealed no difference in me</vt:lpstr>
      <vt:lpstr/>
      <vt:lpstr>Delay-period BOLD signal in parietal and frontal areas was comparable in 1O and </vt:lpstr>
    </vt:vector>
  </TitlesOfParts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YingCai</dc:creator>
  <cp:keywords/>
  <dc:description/>
  <cp:lastModifiedBy>Jacqueline Fulvio</cp:lastModifiedBy>
  <cp:revision>2</cp:revision>
  <dcterms:created xsi:type="dcterms:W3CDTF">2018-01-16T19:28:00Z</dcterms:created>
  <dcterms:modified xsi:type="dcterms:W3CDTF">2018-01-16T19:28:00Z</dcterms:modified>
</cp:coreProperties>
</file>